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54B9" w:rsidRDefault="009B54B9" w:rsidP="009B54B9">
      <w:pPr>
        <w:spacing w:after="817" w:line="259" w:lineRule="auto"/>
        <w:ind w:left="1208" w:right="0" w:firstLine="0"/>
        <w:rPr>
          <w:rFonts w:asciiTheme="minorEastAsia" w:eastAsiaTheme="minorEastAsia" w:hAnsiTheme="minorEastAsia"/>
          <w:b/>
          <w:color w:val="4DBDFF"/>
          <w:sz w:val="35"/>
        </w:rPr>
      </w:pPr>
      <w:r>
        <w:rPr>
          <w:rFonts w:asciiTheme="minorEastAsia" w:eastAsiaTheme="minorEastAsia" w:hAnsiTheme="minorEastAsia" w:hint="eastAsia"/>
          <w:b/>
          <w:color w:val="4DBDFF"/>
          <w:sz w:val="35"/>
        </w:rPr>
        <w:t xml:space="preserve">             Chapter</w:t>
      </w:r>
      <w:r w:rsidR="00777448">
        <w:rPr>
          <w:b/>
          <w:color w:val="4DBDFF"/>
          <w:sz w:val="35"/>
        </w:rPr>
        <w:t xml:space="preserve"> </w:t>
      </w:r>
      <w:r>
        <w:rPr>
          <w:rFonts w:asciiTheme="minorEastAsia" w:eastAsiaTheme="minorEastAsia" w:hAnsiTheme="minorEastAsia" w:hint="eastAsia"/>
          <w:b/>
          <w:color w:val="4DBDFF"/>
          <w:sz w:val="35"/>
        </w:rPr>
        <w:t>2</w:t>
      </w:r>
    </w:p>
    <w:p w:rsidR="00E6256D" w:rsidRPr="009B54B9" w:rsidRDefault="00777448" w:rsidP="009B54B9">
      <w:pPr>
        <w:spacing w:after="817" w:line="259" w:lineRule="auto"/>
        <w:ind w:left="1208" w:right="0" w:firstLine="0"/>
        <w:rPr>
          <w:rFonts w:asciiTheme="minorEastAsia" w:eastAsiaTheme="minorEastAsia" w:hAnsiTheme="minorEastAsia"/>
          <w:b/>
          <w:color w:val="4DBDFF"/>
          <w:sz w:val="35"/>
        </w:rPr>
      </w:pPr>
      <w:r>
        <w:rPr>
          <w:b/>
          <w:color w:val="4DBDFF"/>
          <w:sz w:val="35"/>
        </w:rPr>
        <w:t xml:space="preserve">Diversity </w:t>
      </w:r>
      <w:r w:rsidR="009B54B9">
        <w:rPr>
          <w:b/>
          <w:color w:val="4DBDFF"/>
          <w:sz w:val="35"/>
        </w:rPr>
        <w:t>and Discrimination</w:t>
      </w:r>
    </w:p>
    <w:p w:rsidR="00E6256D" w:rsidRDefault="00777448">
      <w:pPr>
        <w:spacing w:after="0" w:line="259" w:lineRule="auto"/>
        <w:ind w:left="165" w:right="0" w:firstLine="0"/>
      </w:pPr>
      <w:r>
        <w:rPr>
          <w:color w:val="000000"/>
        </w:rPr>
        <w:t>1. Match the following statements in a way that challenges stereotypes:</w:t>
      </w:r>
    </w:p>
    <w:p w:rsidR="00E6256D" w:rsidRDefault="00777448">
      <w:pPr>
        <w:spacing w:after="161" w:line="259" w:lineRule="auto"/>
        <w:ind w:left="171" w:right="0" w:firstLine="0"/>
      </w:pPr>
      <w:r>
        <w:rPr>
          <w:noProof/>
        </w:rPr>
        <w:drawing>
          <wp:inline distT="0" distB="0" distL="0" distR="0">
            <wp:extent cx="3836246" cy="1164052"/>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5"/>
                    <a:stretch>
                      <a:fillRect/>
                    </a:stretch>
                  </pic:blipFill>
                  <pic:spPr>
                    <a:xfrm>
                      <a:off x="0" y="0"/>
                      <a:ext cx="3836246" cy="1164052"/>
                    </a:xfrm>
                    <a:prstGeom prst="rect">
                      <a:avLst/>
                    </a:prstGeom>
                  </pic:spPr>
                </pic:pic>
              </a:graphicData>
            </a:graphic>
          </wp:inline>
        </w:drawing>
      </w:r>
    </w:p>
    <w:p w:rsidR="00E6256D" w:rsidRDefault="00777448">
      <w:pPr>
        <w:spacing w:after="300" w:line="319" w:lineRule="auto"/>
        <w:ind w:left="181" w:right="25"/>
      </w:pPr>
      <w:proofErr w:type="spellStart"/>
      <w:r>
        <w:t>Ans</w:t>
      </w:r>
      <w:proofErr w:type="spellEnd"/>
      <w:r>
        <w:t>:  (a).3.Remark. Many people have formed a stereotype that people living in cities or having influential jobs like surgeon are busy and do not give time to their family. But this example proves that feelings for the family are universal and the surgeon wanted to talk to her daughter.</w:t>
      </w:r>
    </w:p>
    <w:p w:rsidR="00E6256D" w:rsidRDefault="00777448">
      <w:pPr>
        <w:spacing w:after="0" w:line="319" w:lineRule="auto"/>
        <w:ind w:left="181" w:right="25"/>
      </w:pPr>
      <w:r>
        <w:t>(b).4.Remark. This challenges the stereotype that crippled children are good for nothing. But the truth is that they have only one, or probably two defective organs, but they can still use their mind and talent and win prizes like this boy. .</w:t>
      </w:r>
    </w:p>
    <w:p w:rsidR="00E6256D" w:rsidRDefault="00777448">
      <w:pPr>
        <w:spacing w:after="0" w:line="319" w:lineRule="auto"/>
        <w:ind w:left="181" w:right="25"/>
      </w:pPr>
      <w:r>
        <w:t>(c).1.Remark. This challenges the stereotype that chronic asthma patients can not run fast or take part in sports.</w:t>
      </w:r>
    </w:p>
    <w:p w:rsidR="00E6256D" w:rsidRDefault="00777448">
      <w:pPr>
        <w:spacing w:after="300" w:line="319" w:lineRule="auto"/>
        <w:ind w:left="181" w:right="25"/>
      </w:pPr>
      <w:r>
        <w:t>(d).(2)Remark. This challenges the stereotype that only influential and high- class people can dream big. Even poor people can dream big and prove themselves.</w:t>
      </w:r>
    </w:p>
    <w:p w:rsidR="00E6256D" w:rsidRDefault="00777448">
      <w:pPr>
        <w:spacing w:after="0" w:line="319" w:lineRule="auto"/>
        <w:ind w:left="160" w:right="186"/>
      </w:pPr>
      <w:r>
        <w:t xml:space="preserve">2. How can the stereotype that girls are a burden on their parents affects the life of a daughter? </w:t>
      </w:r>
    </w:p>
    <w:p w:rsidR="001F4A9C" w:rsidRDefault="001F4A9C">
      <w:pPr>
        <w:spacing w:after="0" w:line="319" w:lineRule="auto"/>
        <w:ind w:left="160" w:right="186"/>
      </w:pPr>
    </w:p>
    <w:p w:rsidR="00E6256D" w:rsidRDefault="00777448">
      <w:pPr>
        <w:spacing w:after="321" w:line="319" w:lineRule="auto"/>
        <w:ind w:left="181" w:right="25"/>
      </w:pPr>
      <w:proofErr w:type="spellStart"/>
      <w:r>
        <w:t>Ans</w:t>
      </w:r>
      <w:proofErr w:type="spellEnd"/>
      <w:r>
        <w:t>: Girls have been treated as a burden since time immemorial. Even today their condition has not changed. Whether it is home or outside, they are not given due opportunity. The mental set-up of the parents is such that it never accepts the birth of a daughter wholeheartedly. As a result girls’ life is badly affected. Here is the list of five different effects that this stereotype can have on the way daughters get treated.</w:t>
      </w:r>
    </w:p>
    <w:p w:rsidR="001F4A9C" w:rsidRDefault="006A3BD8" w:rsidP="00B73E3C">
      <w:pPr>
        <w:spacing w:after="0" w:line="319" w:lineRule="auto"/>
        <w:ind w:left="160" w:right="186"/>
      </w:pPr>
      <w:r>
        <w:t xml:space="preserve">3. </w:t>
      </w:r>
      <w:r w:rsidR="001F4A9C">
        <w:t>Imagine this situation and list at least Jive different effects that this stereotype can have on the way daughters get treated in the house.</w:t>
      </w:r>
    </w:p>
    <w:p w:rsidR="00E6256D" w:rsidRDefault="00777448">
      <w:pPr>
        <w:ind w:left="181" w:right="25"/>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108475</wp:posOffset>
                </wp:positionH>
                <wp:positionV relativeFrom="paragraph">
                  <wp:posOffset>29285</wp:posOffset>
                </wp:positionV>
                <wp:extent cx="36605" cy="417302"/>
                <wp:effectExtent l="0" t="0" r="0" b="0"/>
                <wp:wrapSquare wrapText="bothSides"/>
                <wp:docPr id="26115" name="Group 26115"/>
                <wp:cNvGraphicFramePr/>
                <a:graphic xmlns:a="http://schemas.openxmlformats.org/drawingml/2006/main">
                  <a:graphicData uri="http://schemas.microsoft.com/office/word/2010/wordprocessingGroup">
                    <wpg:wgp>
                      <wpg:cNvGrpSpPr/>
                      <wpg:grpSpPr>
                        <a:xfrm>
                          <a:off x="0" y="0"/>
                          <a:ext cx="36605" cy="417302"/>
                          <a:chOff x="0" y="0"/>
                          <a:chExt cx="36605" cy="417302"/>
                        </a:xfrm>
                      </wpg:grpSpPr>
                      <wps:wsp>
                        <wps:cNvPr id="3802" name="Shape 3802"/>
                        <wps:cNvSpPr/>
                        <wps:spPr>
                          <a:xfrm>
                            <a:off x="0" y="0"/>
                            <a:ext cx="36605" cy="36606"/>
                          </a:xfrm>
                          <a:custGeom>
                            <a:avLst/>
                            <a:gdLst/>
                            <a:ahLst/>
                            <a:cxnLst/>
                            <a:rect l="0" t="0" r="0" b="0"/>
                            <a:pathLst>
                              <a:path w="36605" h="36606">
                                <a:moveTo>
                                  <a:pt x="18303" y="0"/>
                                </a:moveTo>
                                <a:cubicBezTo>
                                  <a:pt x="28411" y="0"/>
                                  <a:pt x="36605" y="8195"/>
                                  <a:pt x="36605" y="18303"/>
                                </a:cubicBezTo>
                                <a:cubicBezTo>
                                  <a:pt x="36605" y="28411"/>
                                  <a:pt x="28411" y="36606"/>
                                  <a:pt x="18303" y="36606"/>
                                </a:cubicBezTo>
                                <a:cubicBezTo>
                                  <a:pt x="8194" y="36606"/>
                                  <a:pt x="0" y="28411"/>
                                  <a:pt x="0" y="18303"/>
                                </a:cubicBezTo>
                                <a:cubicBezTo>
                                  <a:pt x="0" y="8195"/>
                                  <a:pt x="8194" y="0"/>
                                  <a:pt x="18303" y="0"/>
                                </a:cubicBezTo>
                                <a:close/>
                              </a:path>
                            </a:pathLst>
                          </a:custGeom>
                          <a:ln w="7321" cap="sq">
                            <a:miter lim="127000"/>
                          </a:ln>
                        </wps:spPr>
                        <wps:style>
                          <a:lnRef idx="1">
                            <a:srgbClr val="222222"/>
                          </a:lnRef>
                          <a:fillRef idx="1">
                            <a:srgbClr val="222222"/>
                          </a:fillRef>
                          <a:effectRef idx="0">
                            <a:scrgbClr r="0" g="0" b="0"/>
                          </a:effectRef>
                          <a:fontRef idx="none"/>
                        </wps:style>
                        <wps:bodyPr/>
                      </wps:wsp>
                      <wps:wsp>
                        <wps:cNvPr id="5026" name="Shape 5026"/>
                        <wps:cNvSpPr/>
                        <wps:spPr>
                          <a:xfrm>
                            <a:off x="0" y="190348"/>
                            <a:ext cx="36605" cy="36606"/>
                          </a:xfrm>
                          <a:custGeom>
                            <a:avLst/>
                            <a:gdLst/>
                            <a:ahLst/>
                            <a:cxnLst/>
                            <a:rect l="0" t="0" r="0" b="0"/>
                            <a:pathLst>
                              <a:path w="36605" h="36606">
                                <a:moveTo>
                                  <a:pt x="18303" y="0"/>
                                </a:moveTo>
                                <a:cubicBezTo>
                                  <a:pt x="28411" y="0"/>
                                  <a:pt x="36605" y="8195"/>
                                  <a:pt x="36605" y="18303"/>
                                </a:cubicBezTo>
                                <a:cubicBezTo>
                                  <a:pt x="36605" y="28411"/>
                                  <a:pt x="28411" y="36606"/>
                                  <a:pt x="18303" y="36606"/>
                                </a:cubicBezTo>
                                <a:cubicBezTo>
                                  <a:pt x="8194" y="36606"/>
                                  <a:pt x="0" y="28411"/>
                                  <a:pt x="0" y="18303"/>
                                </a:cubicBezTo>
                                <a:cubicBezTo>
                                  <a:pt x="0" y="8195"/>
                                  <a:pt x="8194" y="0"/>
                                  <a:pt x="18303" y="0"/>
                                </a:cubicBezTo>
                                <a:close/>
                              </a:path>
                            </a:pathLst>
                          </a:custGeom>
                          <a:ln w="7321" cap="sq">
                            <a:miter lim="127000"/>
                          </a:ln>
                        </wps:spPr>
                        <wps:style>
                          <a:lnRef idx="1">
                            <a:srgbClr val="222222"/>
                          </a:lnRef>
                          <a:fillRef idx="1">
                            <a:srgbClr val="222222"/>
                          </a:fillRef>
                          <a:effectRef idx="0">
                            <a:scrgbClr r="0" g="0" b="0"/>
                          </a:effectRef>
                          <a:fontRef idx="none"/>
                        </wps:style>
                        <wps:bodyPr/>
                      </wps:wsp>
                      <wps:wsp>
                        <wps:cNvPr id="5028" name="Shape 5028"/>
                        <wps:cNvSpPr/>
                        <wps:spPr>
                          <a:xfrm>
                            <a:off x="0" y="380696"/>
                            <a:ext cx="36605" cy="36606"/>
                          </a:xfrm>
                          <a:custGeom>
                            <a:avLst/>
                            <a:gdLst/>
                            <a:ahLst/>
                            <a:cxnLst/>
                            <a:rect l="0" t="0" r="0" b="0"/>
                            <a:pathLst>
                              <a:path w="36605" h="36606">
                                <a:moveTo>
                                  <a:pt x="18303" y="0"/>
                                </a:moveTo>
                                <a:cubicBezTo>
                                  <a:pt x="28411" y="0"/>
                                  <a:pt x="36605" y="8195"/>
                                  <a:pt x="36605" y="18303"/>
                                </a:cubicBezTo>
                                <a:cubicBezTo>
                                  <a:pt x="36605" y="28411"/>
                                  <a:pt x="28411" y="36606"/>
                                  <a:pt x="18303" y="36606"/>
                                </a:cubicBezTo>
                                <a:cubicBezTo>
                                  <a:pt x="8194" y="36606"/>
                                  <a:pt x="0" y="28411"/>
                                  <a:pt x="0" y="18303"/>
                                </a:cubicBezTo>
                                <a:cubicBezTo>
                                  <a:pt x="0" y="8195"/>
                                  <a:pt x="8194" y="0"/>
                                  <a:pt x="18303" y="0"/>
                                </a:cubicBezTo>
                                <a:close/>
                              </a:path>
                            </a:pathLst>
                          </a:custGeom>
                          <a:ln w="7321" cap="sq">
                            <a:miter lim="127000"/>
                          </a:ln>
                        </wps:spPr>
                        <wps:style>
                          <a:lnRef idx="1">
                            <a:srgbClr val="222222"/>
                          </a:lnRef>
                          <a:fillRef idx="1">
                            <a:srgbClr val="222222"/>
                          </a:fillRef>
                          <a:effectRef idx="0">
                            <a:scrgbClr r="0" g="0" b="0"/>
                          </a:effectRef>
                          <a:fontRef idx="none"/>
                        </wps:style>
                        <wps:bodyPr/>
                      </wps:wsp>
                    </wpg:wgp>
                  </a:graphicData>
                </a:graphic>
              </wp:anchor>
            </w:drawing>
          </mc:Choice>
          <mc:Fallback xmlns:a="http://schemas.openxmlformats.org/drawingml/2006/main">
            <w:pict>
              <v:group id="Group 26115" style="width:2.88231pt;height:32.8584pt;position:absolute;mso-position-horizontal-relative:text;mso-position-horizontal:absolute;margin-left:8.54134pt;mso-position-vertical-relative:text;margin-top:2.30591pt;" coordsize="366,4173">
                <v:shape id="Shape 3802" style="position:absolute;width:366;height:366;left:0;top:0;" coordsize="36605,36606" path="m18303,0c28411,0,36605,8195,36605,18303c36605,28411,28411,36606,18303,36606c8194,36606,0,28411,0,18303c0,8195,8194,0,18303,0x">
                  <v:stroke weight="0.576463pt" endcap="square" joinstyle="miter" miterlimit="10" on="true" color="#222222"/>
                  <v:fill on="true" color="#222222"/>
                </v:shape>
                <v:shape id="Shape 5026" style="position:absolute;width:366;height:366;left:0;top:1903;" coordsize="36605,36606" path="m18303,0c28411,0,36605,8195,36605,18303c36605,28411,28411,36606,18303,36606c8194,36606,0,28411,0,18303c0,8195,8194,0,18303,0x">
                  <v:stroke weight="0.576463pt" endcap="square" joinstyle="miter" miterlimit="10" on="true" color="#222222"/>
                  <v:fill on="true" color="#222222"/>
                </v:shape>
                <v:shape id="Shape 5028" style="position:absolute;width:366;height:366;left:0;top:3806;" coordsize="36605,36606" path="m18303,0c28411,0,36605,8195,36605,18303c36605,28411,28411,36606,18303,36606c8194,36606,0,28411,0,18303c0,8195,8194,0,18303,0x">
                  <v:stroke weight="0.576463pt" endcap="square" joinstyle="miter" miterlimit="10" on="true" color="#222222"/>
                  <v:fill on="true" color="#222222"/>
                </v:shape>
                <w10:wrap type="square"/>
              </v:group>
            </w:pict>
          </mc:Fallback>
        </mc:AlternateContent>
      </w:r>
      <w:r>
        <w:t>Girls would feel discouraged and they would not concentrate to their studies.</w:t>
      </w:r>
    </w:p>
    <w:p w:rsidR="006A3BD8" w:rsidRDefault="00777448">
      <w:pPr>
        <w:spacing w:after="12" w:line="319" w:lineRule="auto"/>
        <w:ind w:left="181" w:right="290"/>
      </w:pPr>
      <w:r>
        <w:t xml:space="preserve">All their dreams to achieve separate identity in the society would be shattered. Sometimes girls are not allowed to join any school or college. </w:t>
      </w:r>
    </w:p>
    <w:p w:rsidR="00E6256D" w:rsidRDefault="00777448" w:rsidP="006A3BD8">
      <w:pPr>
        <w:pStyle w:val="ListParagraph"/>
        <w:numPr>
          <w:ilvl w:val="0"/>
          <w:numId w:val="8"/>
        </w:numPr>
        <w:spacing w:after="12" w:line="319" w:lineRule="auto"/>
        <w:ind w:right="290"/>
      </w:pPr>
      <w:r>
        <w:t>This ruthless altitude of the parents towards their daughters ruin their career. They feel helpless even in their parents’ house.</w:t>
      </w:r>
    </w:p>
    <w:p w:rsidR="00E6256D" w:rsidRDefault="00777448">
      <w:pPr>
        <w:spacing w:line="319" w:lineRule="auto"/>
        <w:ind w:left="367" w:right="177" w:hanging="196"/>
      </w:pPr>
      <w:r>
        <w:rPr>
          <w:noProof/>
          <w:color w:val="000000"/>
          <w:sz w:val="22"/>
        </w:rPr>
        <mc:AlternateContent>
          <mc:Choice Requires="wpg">
            <w:drawing>
              <wp:inline distT="0" distB="0" distL="0" distR="0">
                <wp:extent cx="36605" cy="36606"/>
                <wp:effectExtent l="0" t="0" r="0" b="0"/>
                <wp:docPr id="26116" name="Group 26116"/>
                <wp:cNvGraphicFramePr/>
                <a:graphic xmlns:a="http://schemas.openxmlformats.org/drawingml/2006/main">
                  <a:graphicData uri="http://schemas.microsoft.com/office/word/2010/wordprocessingGroup">
                    <wpg:wgp>
                      <wpg:cNvGrpSpPr/>
                      <wpg:grpSpPr>
                        <a:xfrm>
                          <a:off x="0" y="0"/>
                          <a:ext cx="36605" cy="36606"/>
                          <a:chOff x="0" y="0"/>
                          <a:chExt cx="36605" cy="36606"/>
                        </a:xfrm>
                      </wpg:grpSpPr>
                      <wps:wsp>
                        <wps:cNvPr id="5030" name="Shape 5030"/>
                        <wps:cNvSpPr/>
                        <wps:spPr>
                          <a:xfrm>
                            <a:off x="0" y="0"/>
                            <a:ext cx="36605" cy="36606"/>
                          </a:xfrm>
                          <a:custGeom>
                            <a:avLst/>
                            <a:gdLst/>
                            <a:ahLst/>
                            <a:cxnLst/>
                            <a:rect l="0" t="0" r="0" b="0"/>
                            <a:pathLst>
                              <a:path w="36605" h="36606">
                                <a:moveTo>
                                  <a:pt x="18303" y="0"/>
                                </a:moveTo>
                                <a:cubicBezTo>
                                  <a:pt x="28411" y="0"/>
                                  <a:pt x="36605" y="8195"/>
                                  <a:pt x="36605" y="18303"/>
                                </a:cubicBezTo>
                                <a:cubicBezTo>
                                  <a:pt x="36605" y="28411"/>
                                  <a:pt x="28411" y="36606"/>
                                  <a:pt x="18303" y="36606"/>
                                </a:cubicBezTo>
                                <a:cubicBezTo>
                                  <a:pt x="8194" y="36606"/>
                                  <a:pt x="0" y="28411"/>
                                  <a:pt x="0" y="18303"/>
                                </a:cubicBezTo>
                                <a:cubicBezTo>
                                  <a:pt x="0" y="8195"/>
                                  <a:pt x="8194" y="0"/>
                                  <a:pt x="18303" y="0"/>
                                </a:cubicBezTo>
                                <a:close/>
                              </a:path>
                            </a:pathLst>
                          </a:custGeom>
                          <a:ln w="7321"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26116" style="width:2.88231pt;height:2.88232pt;mso-position-horizontal-relative:char;mso-position-vertical-relative:line" coordsize="366,366">
                <v:shape id="Shape 5030" style="position:absolute;width:366;height:366;left:0;top:0;" coordsize="36605,36606" path="m18303,0c28411,0,36605,8195,36605,18303c36605,28411,28411,36606,18303,36606c8194,36606,0,28411,0,18303c0,8195,8194,0,18303,0x">
                  <v:stroke weight="0.576463pt" endcap="square" joinstyle="miter" miterlimit="10" on="true" color="#222222"/>
                  <v:fill on="true" color="#222222"/>
                </v:shape>
              </v:group>
            </w:pict>
          </mc:Fallback>
        </mc:AlternateContent>
      </w:r>
      <w:r>
        <w:tab/>
        <w:t>Even marriage does not bring fortune to the girls all the time. Some in-laws prove themselves good by giving proper treatment to the newly married girls. But most of the time we find that they are ill-treated in their in-laws’ house. They are subject to exploitation.</w:t>
      </w:r>
    </w:p>
    <w:p w:rsidR="00E6256D" w:rsidRDefault="00E6256D">
      <w:pPr>
        <w:spacing w:line="319" w:lineRule="auto"/>
        <w:ind w:left="181" w:right="25"/>
      </w:pPr>
    </w:p>
    <w:sectPr w:rsidR="00E6256D">
      <w:pgSz w:w="11900" w:h="16840"/>
      <w:pgMar w:top="566" w:right="2167" w:bottom="744" w:left="19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34F7"/>
    <w:multiLevelType w:val="hybridMultilevel"/>
    <w:tmpl w:val="FFFFFFFF"/>
    <w:lvl w:ilvl="0" w:tplc="52946266">
      <w:start w:val="1"/>
      <w:numFmt w:val="decimal"/>
      <w:lvlText w:val="%1."/>
      <w:lvlJc w:val="left"/>
      <w:pPr>
        <w:ind w:left="348"/>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55503DC0">
      <w:start w:val="1"/>
      <w:numFmt w:val="lowerLetter"/>
      <w:lvlText w:val="%2"/>
      <w:lvlJc w:val="left"/>
      <w:pPr>
        <w:ind w:left="10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4C3C1352">
      <w:start w:val="1"/>
      <w:numFmt w:val="lowerRoman"/>
      <w:lvlText w:val="%3"/>
      <w:lvlJc w:val="left"/>
      <w:pPr>
        <w:ind w:left="18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6EDAFB48">
      <w:start w:val="1"/>
      <w:numFmt w:val="decimal"/>
      <w:lvlText w:val="%4"/>
      <w:lvlJc w:val="left"/>
      <w:pPr>
        <w:ind w:left="25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A3685E38">
      <w:start w:val="1"/>
      <w:numFmt w:val="lowerLetter"/>
      <w:lvlText w:val="%5"/>
      <w:lvlJc w:val="left"/>
      <w:pPr>
        <w:ind w:left="324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E1E6B74A">
      <w:start w:val="1"/>
      <w:numFmt w:val="lowerRoman"/>
      <w:lvlText w:val="%6"/>
      <w:lvlJc w:val="left"/>
      <w:pPr>
        <w:ind w:left="396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3F0AF0B6">
      <w:start w:val="1"/>
      <w:numFmt w:val="decimal"/>
      <w:lvlText w:val="%7"/>
      <w:lvlJc w:val="left"/>
      <w:pPr>
        <w:ind w:left="46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0798C1C8">
      <w:start w:val="1"/>
      <w:numFmt w:val="lowerLetter"/>
      <w:lvlText w:val="%8"/>
      <w:lvlJc w:val="left"/>
      <w:pPr>
        <w:ind w:left="54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8B605074">
      <w:start w:val="1"/>
      <w:numFmt w:val="lowerRoman"/>
      <w:lvlText w:val="%9"/>
      <w:lvlJc w:val="left"/>
      <w:pPr>
        <w:ind w:left="61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1" w15:restartNumberingAfterBreak="0">
    <w:nsid w:val="2DEB43CD"/>
    <w:multiLevelType w:val="hybridMultilevel"/>
    <w:tmpl w:val="FFFFFFFF"/>
    <w:lvl w:ilvl="0" w:tplc="AF62B3B0">
      <w:start w:val="1"/>
      <w:numFmt w:val="decimal"/>
      <w:lvlText w:val="%1."/>
      <w:lvlJc w:val="left"/>
      <w:pPr>
        <w:ind w:left="348"/>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DE66ABA0">
      <w:start w:val="1"/>
      <w:numFmt w:val="lowerLetter"/>
      <w:lvlText w:val="%2"/>
      <w:lvlJc w:val="left"/>
      <w:pPr>
        <w:ind w:left="10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951E160A">
      <w:start w:val="1"/>
      <w:numFmt w:val="lowerRoman"/>
      <w:lvlText w:val="%3"/>
      <w:lvlJc w:val="left"/>
      <w:pPr>
        <w:ind w:left="18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FA2AAD1A">
      <w:start w:val="1"/>
      <w:numFmt w:val="decimal"/>
      <w:lvlText w:val="%4"/>
      <w:lvlJc w:val="left"/>
      <w:pPr>
        <w:ind w:left="25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40FA00E4">
      <w:start w:val="1"/>
      <w:numFmt w:val="lowerLetter"/>
      <w:lvlText w:val="%5"/>
      <w:lvlJc w:val="left"/>
      <w:pPr>
        <w:ind w:left="324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9A926CA6">
      <w:start w:val="1"/>
      <w:numFmt w:val="lowerRoman"/>
      <w:lvlText w:val="%6"/>
      <w:lvlJc w:val="left"/>
      <w:pPr>
        <w:ind w:left="396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8A7ADB68">
      <w:start w:val="1"/>
      <w:numFmt w:val="decimal"/>
      <w:lvlText w:val="%7"/>
      <w:lvlJc w:val="left"/>
      <w:pPr>
        <w:ind w:left="46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B65EA6DE">
      <w:start w:val="1"/>
      <w:numFmt w:val="lowerLetter"/>
      <w:lvlText w:val="%8"/>
      <w:lvlJc w:val="left"/>
      <w:pPr>
        <w:ind w:left="54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13227DB4">
      <w:start w:val="1"/>
      <w:numFmt w:val="lowerRoman"/>
      <w:lvlText w:val="%9"/>
      <w:lvlJc w:val="left"/>
      <w:pPr>
        <w:ind w:left="61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2" w15:restartNumberingAfterBreak="0">
    <w:nsid w:val="3A91045D"/>
    <w:multiLevelType w:val="hybridMultilevel"/>
    <w:tmpl w:val="FFFFFFFF"/>
    <w:lvl w:ilvl="0" w:tplc="04360A24">
      <w:start w:val="2"/>
      <w:numFmt w:val="lowerLetter"/>
      <w:lvlText w:val="(%1)"/>
      <w:lvlJc w:val="left"/>
      <w:pPr>
        <w:ind w:left="227"/>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72EC44F8">
      <w:start w:val="1"/>
      <w:numFmt w:val="lowerLetter"/>
      <w:lvlText w:val="%2"/>
      <w:lvlJc w:val="left"/>
      <w:pPr>
        <w:ind w:left="108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690443CA">
      <w:start w:val="1"/>
      <w:numFmt w:val="lowerRoman"/>
      <w:lvlText w:val="%3"/>
      <w:lvlJc w:val="left"/>
      <w:pPr>
        <w:ind w:left="180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2E7CB0FE">
      <w:start w:val="1"/>
      <w:numFmt w:val="decimal"/>
      <w:lvlText w:val="%4"/>
      <w:lvlJc w:val="left"/>
      <w:pPr>
        <w:ind w:left="252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A6D0F98C">
      <w:start w:val="1"/>
      <w:numFmt w:val="lowerLetter"/>
      <w:lvlText w:val="%5"/>
      <w:lvlJc w:val="left"/>
      <w:pPr>
        <w:ind w:left="324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135E82F4">
      <w:start w:val="1"/>
      <w:numFmt w:val="lowerRoman"/>
      <w:lvlText w:val="%6"/>
      <w:lvlJc w:val="left"/>
      <w:pPr>
        <w:ind w:left="396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38E06BE0">
      <w:start w:val="1"/>
      <w:numFmt w:val="decimal"/>
      <w:lvlText w:val="%7"/>
      <w:lvlJc w:val="left"/>
      <w:pPr>
        <w:ind w:left="468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CC487C78">
      <w:start w:val="1"/>
      <w:numFmt w:val="lowerLetter"/>
      <w:lvlText w:val="%8"/>
      <w:lvlJc w:val="left"/>
      <w:pPr>
        <w:ind w:left="540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890ACA2C">
      <w:start w:val="1"/>
      <w:numFmt w:val="lowerRoman"/>
      <w:lvlText w:val="%9"/>
      <w:lvlJc w:val="left"/>
      <w:pPr>
        <w:ind w:left="6126"/>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3" w15:restartNumberingAfterBreak="0">
    <w:nsid w:val="41286256"/>
    <w:multiLevelType w:val="hybridMultilevel"/>
    <w:tmpl w:val="FFFFFFFF"/>
    <w:lvl w:ilvl="0" w:tplc="76041B0E">
      <w:start w:val="1"/>
      <w:numFmt w:val="lowerRoman"/>
      <w:lvlText w:val="(%1)"/>
      <w:lvlJc w:val="left"/>
      <w:pPr>
        <w:ind w:left="487"/>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72E423B0">
      <w:start w:val="1"/>
      <w:numFmt w:val="lowerLetter"/>
      <w:lvlText w:val="%2"/>
      <w:lvlJc w:val="left"/>
      <w:pPr>
        <w:ind w:left="10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99C0BF36">
      <w:start w:val="1"/>
      <w:numFmt w:val="lowerRoman"/>
      <w:lvlText w:val="%3"/>
      <w:lvlJc w:val="left"/>
      <w:pPr>
        <w:ind w:left="18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1BE214C2">
      <w:start w:val="1"/>
      <w:numFmt w:val="decimal"/>
      <w:lvlText w:val="%4"/>
      <w:lvlJc w:val="left"/>
      <w:pPr>
        <w:ind w:left="25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97BA2086">
      <w:start w:val="1"/>
      <w:numFmt w:val="lowerLetter"/>
      <w:lvlText w:val="%5"/>
      <w:lvlJc w:val="left"/>
      <w:pPr>
        <w:ind w:left="324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0AB4DECA">
      <w:start w:val="1"/>
      <w:numFmt w:val="lowerRoman"/>
      <w:lvlText w:val="%6"/>
      <w:lvlJc w:val="left"/>
      <w:pPr>
        <w:ind w:left="396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963AB8FC">
      <w:start w:val="1"/>
      <w:numFmt w:val="decimal"/>
      <w:lvlText w:val="%7"/>
      <w:lvlJc w:val="left"/>
      <w:pPr>
        <w:ind w:left="46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48E4D202">
      <w:start w:val="1"/>
      <w:numFmt w:val="lowerLetter"/>
      <w:lvlText w:val="%8"/>
      <w:lvlJc w:val="left"/>
      <w:pPr>
        <w:ind w:left="54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2AFC77D4">
      <w:start w:val="1"/>
      <w:numFmt w:val="lowerRoman"/>
      <w:lvlText w:val="%9"/>
      <w:lvlJc w:val="left"/>
      <w:pPr>
        <w:ind w:left="61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4" w15:restartNumberingAfterBreak="0">
    <w:nsid w:val="519E5688"/>
    <w:multiLevelType w:val="hybridMultilevel"/>
    <w:tmpl w:val="CB4EF90E"/>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5" w15:restartNumberingAfterBreak="0">
    <w:nsid w:val="523C0118"/>
    <w:multiLevelType w:val="hybridMultilevel"/>
    <w:tmpl w:val="FFFFFFFF"/>
    <w:lvl w:ilvl="0" w:tplc="305CA136">
      <w:start w:val="1"/>
      <w:numFmt w:val="decimal"/>
      <w:lvlText w:val="%1."/>
      <w:lvlJc w:val="left"/>
      <w:pPr>
        <w:ind w:left="451"/>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FD1CD338">
      <w:start w:val="1"/>
      <w:numFmt w:val="lowerLetter"/>
      <w:lvlText w:val="%2"/>
      <w:lvlJc w:val="left"/>
      <w:pPr>
        <w:ind w:left="10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B13AA6B6">
      <w:start w:val="1"/>
      <w:numFmt w:val="lowerRoman"/>
      <w:lvlText w:val="%3"/>
      <w:lvlJc w:val="left"/>
      <w:pPr>
        <w:ind w:left="18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3CECA04A">
      <w:start w:val="1"/>
      <w:numFmt w:val="decimal"/>
      <w:lvlText w:val="%4"/>
      <w:lvlJc w:val="left"/>
      <w:pPr>
        <w:ind w:left="25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AE2A08B2">
      <w:start w:val="1"/>
      <w:numFmt w:val="lowerLetter"/>
      <w:lvlText w:val="%5"/>
      <w:lvlJc w:val="left"/>
      <w:pPr>
        <w:ind w:left="324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E21878B8">
      <w:start w:val="1"/>
      <w:numFmt w:val="lowerRoman"/>
      <w:lvlText w:val="%6"/>
      <w:lvlJc w:val="left"/>
      <w:pPr>
        <w:ind w:left="396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9E9AFC3A">
      <w:start w:val="1"/>
      <w:numFmt w:val="decimal"/>
      <w:lvlText w:val="%7"/>
      <w:lvlJc w:val="left"/>
      <w:pPr>
        <w:ind w:left="46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DA466ADE">
      <w:start w:val="1"/>
      <w:numFmt w:val="lowerLetter"/>
      <w:lvlText w:val="%8"/>
      <w:lvlJc w:val="left"/>
      <w:pPr>
        <w:ind w:left="54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686A240C">
      <w:start w:val="1"/>
      <w:numFmt w:val="lowerRoman"/>
      <w:lvlText w:val="%9"/>
      <w:lvlJc w:val="left"/>
      <w:pPr>
        <w:ind w:left="61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6" w15:restartNumberingAfterBreak="0">
    <w:nsid w:val="5953105B"/>
    <w:multiLevelType w:val="hybridMultilevel"/>
    <w:tmpl w:val="FFFFFFFF"/>
    <w:lvl w:ilvl="0" w:tplc="54CEF87C">
      <w:start w:val="2"/>
      <w:numFmt w:val="lowerRoman"/>
      <w:lvlText w:val="(%1)"/>
      <w:lvlJc w:val="left"/>
      <w:pPr>
        <w:ind w:left="487"/>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791242B6">
      <w:start w:val="1"/>
      <w:numFmt w:val="lowerLetter"/>
      <w:lvlText w:val="%2"/>
      <w:lvlJc w:val="left"/>
      <w:pPr>
        <w:ind w:left="10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CBBA2074">
      <w:start w:val="1"/>
      <w:numFmt w:val="lowerRoman"/>
      <w:lvlText w:val="%3"/>
      <w:lvlJc w:val="left"/>
      <w:pPr>
        <w:ind w:left="18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860E46AA">
      <w:start w:val="1"/>
      <w:numFmt w:val="decimal"/>
      <w:lvlText w:val="%4"/>
      <w:lvlJc w:val="left"/>
      <w:pPr>
        <w:ind w:left="25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648E2134">
      <w:start w:val="1"/>
      <w:numFmt w:val="lowerLetter"/>
      <w:lvlText w:val="%5"/>
      <w:lvlJc w:val="left"/>
      <w:pPr>
        <w:ind w:left="324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44607AF0">
      <w:start w:val="1"/>
      <w:numFmt w:val="lowerRoman"/>
      <w:lvlText w:val="%6"/>
      <w:lvlJc w:val="left"/>
      <w:pPr>
        <w:ind w:left="396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EF729624">
      <w:start w:val="1"/>
      <w:numFmt w:val="decimal"/>
      <w:lvlText w:val="%7"/>
      <w:lvlJc w:val="left"/>
      <w:pPr>
        <w:ind w:left="46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4BA804E4">
      <w:start w:val="1"/>
      <w:numFmt w:val="lowerLetter"/>
      <w:lvlText w:val="%8"/>
      <w:lvlJc w:val="left"/>
      <w:pPr>
        <w:ind w:left="54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FA2AE0C4">
      <w:start w:val="1"/>
      <w:numFmt w:val="lowerRoman"/>
      <w:lvlText w:val="%9"/>
      <w:lvlJc w:val="left"/>
      <w:pPr>
        <w:ind w:left="61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7" w15:restartNumberingAfterBreak="0">
    <w:nsid w:val="6D8E4076"/>
    <w:multiLevelType w:val="hybridMultilevel"/>
    <w:tmpl w:val="FFFFFFFF"/>
    <w:lvl w:ilvl="0" w:tplc="67B61A38">
      <w:start w:val="3"/>
      <w:numFmt w:val="decimal"/>
      <w:lvlText w:val="%1."/>
      <w:lvlJc w:val="left"/>
      <w:pPr>
        <w:ind w:left="1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53C65C54">
      <w:start w:val="1"/>
      <w:numFmt w:val="lowerLetter"/>
      <w:lvlText w:val="%2"/>
      <w:lvlJc w:val="left"/>
      <w:pPr>
        <w:ind w:left="10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7DCC60BC">
      <w:start w:val="1"/>
      <w:numFmt w:val="lowerRoman"/>
      <w:lvlText w:val="%3"/>
      <w:lvlJc w:val="left"/>
      <w:pPr>
        <w:ind w:left="18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972E5D76">
      <w:start w:val="1"/>
      <w:numFmt w:val="decimal"/>
      <w:lvlText w:val="%4"/>
      <w:lvlJc w:val="left"/>
      <w:pPr>
        <w:ind w:left="25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E9CE0F3C">
      <w:start w:val="1"/>
      <w:numFmt w:val="lowerLetter"/>
      <w:lvlText w:val="%5"/>
      <w:lvlJc w:val="left"/>
      <w:pPr>
        <w:ind w:left="324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F7204438">
      <w:start w:val="1"/>
      <w:numFmt w:val="lowerRoman"/>
      <w:lvlText w:val="%6"/>
      <w:lvlJc w:val="left"/>
      <w:pPr>
        <w:ind w:left="396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8D440A52">
      <w:start w:val="1"/>
      <w:numFmt w:val="decimal"/>
      <w:lvlText w:val="%7"/>
      <w:lvlJc w:val="left"/>
      <w:pPr>
        <w:ind w:left="468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475AD7EE">
      <w:start w:val="1"/>
      <w:numFmt w:val="lowerLetter"/>
      <w:lvlText w:val="%8"/>
      <w:lvlJc w:val="left"/>
      <w:pPr>
        <w:ind w:left="540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56AC914C">
      <w:start w:val="1"/>
      <w:numFmt w:val="lowerRoman"/>
      <w:lvlText w:val="%9"/>
      <w:lvlJc w:val="left"/>
      <w:pPr>
        <w:ind w:left="6120"/>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num w:numId="1">
    <w:abstractNumId w:val="7"/>
  </w:num>
  <w:num w:numId="2">
    <w:abstractNumId w:val="2"/>
  </w:num>
  <w:num w:numId="3">
    <w:abstractNumId w:val="6"/>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6D"/>
    <w:rsid w:val="000A40A5"/>
    <w:rsid w:val="001C098F"/>
    <w:rsid w:val="001F4A9C"/>
    <w:rsid w:val="004B7F47"/>
    <w:rsid w:val="006A3BD8"/>
    <w:rsid w:val="00777448"/>
    <w:rsid w:val="00907917"/>
    <w:rsid w:val="009B54B9"/>
    <w:rsid w:val="00E6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8362A1"/>
  <w15:docId w15:val="{31847F88-0586-FA40-8DB3-77B85ABD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line="265" w:lineRule="auto"/>
      <w:ind w:left="175" w:right="44" w:hanging="10"/>
    </w:pPr>
    <w:rPr>
      <w:rFonts w:ascii="Calibri" w:eastAsia="Calibri" w:hAnsi="Calibri" w:cs="Calibri"/>
      <w:color w:val="2222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NCERT Solutions for Class 6th Social Science Civics Chapter 2 Diversity and Discrimination</dc:title>
  <dc:subject/>
  <dc:creator/>
  <cp:keywords/>
  <cp:lastModifiedBy>918267823296</cp:lastModifiedBy>
  <cp:revision>2</cp:revision>
  <dcterms:created xsi:type="dcterms:W3CDTF">2020-09-01T04:18:00Z</dcterms:created>
  <dcterms:modified xsi:type="dcterms:W3CDTF">2020-09-01T04:18:00Z</dcterms:modified>
</cp:coreProperties>
</file>